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3189" w14:textId="77777777" w:rsidR="00605B5E" w:rsidRDefault="00605B5E">
      <w:pPr>
        <w:spacing w:line="240" w:lineRule="auto"/>
        <w:jc w:val="both"/>
      </w:pPr>
    </w:p>
    <w:p w14:paraId="47691283" w14:textId="77777777" w:rsidR="00605B5E" w:rsidRDefault="00605B5E">
      <w:pPr>
        <w:jc w:val="center"/>
        <w:rPr>
          <w:b/>
          <w:sz w:val="28"/>
          <w:szCs w:val="28"/>
        </w:rPr>
      </w:pPr>
    </w:p>
    <w:p w14:paraId="21E3328F" w14:textId="77777777" w:rsidR="008F4482" w:rsidRDefault="008F4482">
      <w:pPr>
        <w:jc w:val="center"/>
        <w:rPr>
          <w:b/>
          <w:sz w:val="28"/>
          <w:szCs w:val="28"/>
          <w:lang w:val="es-CO"/>
        </w:rPr>
      </w:pPr>
      <w:r>
        <w:rPr>
          <w:b/>
          <w:sz w:val="28"/>
          <w:szCs w:val="28"/>
          <w:lang w:val="es-CO"/>
        </w:rPr>
        <w:t xml:space="preserve">La consultora </w:t>
      </w:r>
      <w:proofErr w:type="spellStart"/>
      <w:r w:rsidR="00000000" w:rsidRPr="008F4482">
        <w:rPr>
          <w:b/>
          <w:i/>
          <w:iCs/>
          <w:sz w:val="28"/>
          <w:szCs w:val="28"/>
          <w:lang w:val="es-CO"/>
        </w:rPr>
        <w:t>another</w:t>
      </w:r>
      <w:proofErr w:type="spellEnd"/>
      <w:r w:rsidR="00000000" w:rsidRPr="008F4482">
        <w:rPr>
          <w:b/>
          <w:sz w:val="28"/>
          <w:szCs w:val="28"/>
          <w:lang w:val="es-CO"/>
        </w:rPr>
        <w:t xml:space="preserve"> se asocia con la </w:t>
      </w:r>
    </w:p>
    <w:p w14:paraId="5812345C" w14:textId="1F1224EF" w:rsidR="00605B5E" w:rsidRDefault="00000000" w:rsidP="008F4482">
      <w:pPr>
        <w:jc w:val="center"/>
        <w:rPr>
          <w:b/>
          <w:sz w:val="28"/>
          <w:szCs w:val="28"/>
          <w:lang w:val="es-CO"/>
        </w:rPr>
      </w:pPr>
      <w:r w:rsidRPr="008F4482">
        <w:rPr>
          <w:b/>
          <w:sz w:val="28"/>
          <w:szCs w:val="28"/>
          <w:lang w:val="es-CO"/>
        </w:rPr>
        <w:t xml:space="preserve">firma de consultoría global SEC </w:t>
      </w:r>
      <w:proofErr w:type="spellStart"/>
      <w:r w:rsidRPr="008F4482">
        <w:rPr>
          <w:b/>
          <w:sz w:val="28"/>
          <w:szCs w:val="28"/>
          <w:lang w:val="es-CO"/>
        </w:rPr>
        <w:t>Newgate</w:t>
      </w:r>
      <w:proofErr w:type="spellEnd"/>
    </w:p>
    <w:p w14:paraId="161FB334" w14:textId="77777777" w:rsidR="008F4482" w:rsidRPr="008F4482" w:rsidRDefault="008F4482" w:rsidP="008F4482">
      <w:pPr>
        <w:jc w:val="center"/>
        <w:rPr>
          <w:b/>
          <w:sz w:val="28"/>
          <w:szCs w:val="28"/>
          <w:lang w:val="es-CO"/>
        </w:rPr>
      </w:pPr>
    </w:p>
    <w:p w14:paraId="4D6F889C" w14:textId="77777777" w:rsidR="00605B5E" w:rsidRPr="008F4482" w:rsidRDefault="00000000" w:rsidP="008F4482">
      <w:pPr>
        <w:numPr>
          <w:ilvl w:val="0"/>
          <w:numId w:val="1"/>
        </w:numPr>
        <w:ind w:left="284"/>
        <w:jc w:val="both"/>
        <w:rPr>
          <w:lang w:val="es-CO"/>
        </w:rPr>
      </w:pPr>
      <w:r w:rsidRPr="008F4482">
        <w:rPr>
          <w:lang w:val="es-CO"/>
        </w:rPr>
        <w:t xml:space="preserve">SEC </w:t>
      </w:r>
      <w:proofErr w:type="spellStart"/>
      <w:r w:rsidRPr="008F4482">
        <w:rPr>
          <w:lang w:val="es-CO"/>
        </w:rPr>
        <w:t>Newgate</w:t>
      </w:r>
      <w:proofErr w:type="spellEnd"/>
      <w:r w:rsidRPr="008F4482">
        <w:rPr>
          <w:lang w:val="es-CO"/>
        </w:rPr>
        <w:t xml:space="preserve"> es una consultoría Global líder en comunicación estratégica, gestión de reputación e investigación </w:t>
      </w:r>
    </w:p>
    <w:p w14:paraId="4AD8A4AF" w14:textId="77777777" w:rsidR="00605B5E" w:rsidRPr="008F4482" w:rsidRDefault="00000000" w:rsidP="008F4482">
      <w:pPr>
        <w:numPr>
          <w:ilvl w:val="0"/>
          <w:numId w:val="1"/>
        </w:numPr>
        <w:ind w:left="284"/>
        <w:jc w:val="both"/>
        <w:rPr>
          <w:lang w:val="es-CO"/>
        </w:rPr>
      </w:pPr>
      <w:r w:rsidRPr="008F4482">
        <w:rPr>
          <w:lang w:val="es-CO"/>
        </w:rPr>
        <w:t>El acuerdo abre nuevos mercados y servicios para ambos grupos</w:t>
      </w:r>
    </w:p>
    <w:p w14:paraId="569DDB8F" w14:textId="77777777" w:rsidR="00605B5E" w:rsidRPr="008F4482" w:rsidRDefault="00605B5E">
      <w:pPr>
        <w:ind w:left="720"/>
        <w:jc w:val="center"/>
        <w:rPr>
          <w:sz w:val="24"/>
          <w:szCs w:val="24"/>
          <w:lang w:val="es-CO"/>
        </w:rPr>
      </w:pPr>
    </w:p>
    <w:p w14:paraId="00FCD631" w14:textId="253253B4" w:rsidR="00605B5E" w:rsidRPr="008F4482" w:rsidRDefault="008F4482">
      <w:pPr>
        <w:spacing w:line="240" w:lineRule="auto"/>
        <w:jc w:val="both"/>
        <w:rPr>
          <w:lang w:val="es-CO"/>
        </w:rPr>
      </w:pPr>
      <w:r>
        <w:rPr>
          <w:lang w:val="es-CO"/>
        </w:rPr>
        <w:t>E</w:t>
      </w:r>
      <w:r w:rsidRPr="008F4482">
        <w:rPr>
          <w:lang w:val="es-CO"/>
        </w:rPr>
        <w:t xml:space="preserve">l grupo independiente de comunicación estratégica </w:t>
      </w:r>
      <w:hyperlink r:id="rId7">
        <w:proofErr w:type="spellStart"/>
        <w:r w:rsidR="00000000" w:rsidRPr="008F4482">
          <w:rPr>
            <w:b/>
            <w:i/>
            <w:color w:val="1155CC"/>
            <w:u w:val="single"/>
            <w:lang w:val="es-CO"/>
          </w:rPr>
          <w:t>another</w:t>
        </w:r>
        <w:proofErr w:type="spellEnd"/>
      </w:hyperlink>
      <w:r w:rsidR="00000000" w:rsidRPr="008F4482">
        <w:rPr>
          <w:b/>
          <w:lang w:val="es-CO"/>
        </w:rPr>
        <w:t xml:space="preserve">, </w:t>
      </w:r>
      <w:r w:rsidR="00000000" w:rsidRPr="008F4482">
        <w:rPr>
          <w:lang w:val="es-CO"/>
        </w:rPr>
        <w:t xml:space="preserve">con la oferta más grande en servicios en el mercado latinoamericano y presencia en 21 países, anuncia que ha llegado a un acuerdo para vender el 70% de sus acciones a SEC </w:t>
      </w:r>
      <w:proofErr w:type="spellStart"/>
      <w:r w:rsidR="00000000" w:rsidRPr="008F4482">
        <w:rPr>
          <w:lang w:val="es-CO"/>
        </w:rPr>
        <w:t>Newgate</w:t>
      </w:r>
      <w:proofErr w:type="spellEnd"/>
      <w:r w:rsidR="00000000" w:rsidRPr="008F4482">
        <w:rPr>
          <w:lang w:val="es-CO"/>
        </w:rPr>
        <w:t xml:space="preserve">, el grupo internacional de comunicación estratégica, gestión de reputación e investigación.  </w:t>
      </w:r>
    </w:p>
    <w:p w14:paraId="7EB1D616" w14:textId="77777777" w:rsidR="00605B5E" w:rsidRPr="008F4482" w:rsidRDefault="00605B5E">
      <w:pPr>
        <w:spacing w:line="240" w:lineRule="auto"/>
        <w:jc w:val="both"/>
        <w:rPr>
          <w:lang w:val="es-CO"/>
        </w:rPr>
      </w:pPr>
    </w:p>
    <w:p w14:paraId="076F045B" w14:textId="77777777" w:rsidR="00605B5E" w:rsidRPr="008F4482" w:rsidRDefault="00000000">
      <w:pPr>
        <w:spacing w:line="240" w:lineRule="auto"/>
        <w:jc w:val="both"/>
        <w:rPr>
          <w:lang w:val="es-CO"/>
        </w:rPr>
      </w:pPr>
      <w:r w:rsidRPr="008F4482">
        <w:rPr>
          <w:lang w:val="es-CO"/>
        </w:rPr>
        <w:t xml:space="preserve">El acuerdo representa una gran oportunidad para ambos grupos, ya que abre nuevos mercados y servicios para ambos, trayendo nuevas oportunidades de expansión y crecimiento en los próximos años. </w:t>
      </w:r>
    </w:p>
    <w:p w14:paraId="4906C789" w14:textId="77777777" w:rsidR="00605B5E" w:rsidRPr="008F4482" w:rsidRDefault="00605B5E">
      <w:pPr>
        <w:spacing w:line="240" w:lineRule="auto"/>
        <w:jc w:val="both"/>
        <w:rPr>
          <w:lang w:val="es-CO"/>
        </w:rPr>
      </w:pPr>
    </w:p>
    <w:p w14:paraId="2421C09E" w14:textId="77777777" w:rsidR="00605B5E" w:rsidRPr="008F4482" w:rsidRDefault="00000000">
      <w:pPr>
        <w:spacing w:line="240" w:lineRule="auto"/>
        <w:jc w:val="both"/>
        <w:rPr>
          <w:lang w:val="es-CO"/>
        </w:rPr>
      </w:pPr>
      <w:r w:rsidRPr="008F4482">
        <w:rPr>
          <w:lang w:val="es-CO"/>
        </w:rPr>
        <w:t xml:space="preserve">“El acuerdo ofrece una oportunidad única para que nuestros equipos se beneficien a profundidad de una experiencia internacional, así como de un portafolio de nuevos servicios de marketing y comunicación que crearán enorme valor, tanto para nuestro talento, como para nuestros clientes alrededor del mundo”, comentó </w:t>
      </w:r>
      <w:proofErr w:type="spellStart"/>
      <w:r w:rsidRPr="008F4482">
        <w:rPr>
          <w:b/>
          <w:lang w:val="es-CO"/>
        </w:rPr>
        <w:t>Jaspar</w:t>
      </w:r>
      <w:proofErr w:type="spellEnd"/>
      <w:r w:rsidRPr="008F4482">
        <w:rPr>
          <w:b/>
          <w:lang w:val="es-CO"/>
        </w:rPr>
        <w:t xml:space="preserve"> </w:t>
      </w:r>
      <w:proofErr w:type="spellStart"/>
      <w:r w:rsidRPr="008F4482">
        <w:rPr>
          <w:b/>
          <w:lang w:val="es-CO"/>
        </w:rPr>
        <w:t>Eyears</w:t>
      </w:r>
      <w:proofErr w:type="spellEnd"/>
      <w:r w:rsidRPr="008F4482">
        <w:rPr>
          <w:lang w:val="es-CO"/>
        </w:rPr>
        <w:t xml:space="preserve">, CEO de </w:t>
      </w:r>
      <w:proofErr w:type="spellStart"/>
      <w:r w:rsidRPr="008F4482">
        <w:rPr>
          <w:b/>
          <w:lang w:val="es-CO"/>
        </w:rPr>
        <w:t>another</w:t>
      </w:r>
      <w:proofErr w:type="spellEnd"/>
      <w:r w:rsidRPr="008F4482">
        <w:rPr>
          <w:lang w:val="es-CO"/>
        </w:rPr>
        <w:t>.</w:t>
      </w:r>
    </w:p>
    <w:p w14:paraId="3DE72BD0" w14:textId="77777777" w:rsidR="00605B5E" w:rsidRPr="008F4482" w:rsidRDefault="00605B5E">
      <w:pPr>
        <w:spacing w:line="240" w:lineRule="auto"/>
        <w:jc w:val="both"/>
        <w:rPr>
          <w:lang w:val="es-CO"/>
        </w:rPr>
      </w:pPr>
    </w:p>
    <w:p w14:paraId="6888B02A" w14:textId="77777777" w:rsidR="00605B5E" w:rsidRPr="008F4482" w:rsidRDefault="00000000">
      <w:pPr>
        <w:spacing w:line="240" w:lineRule="auto"/>
        <w:jc w:val="both"/>
        <w:rPr>
          <w:lang w:val="es-CO"/>
        </w:rPr>
      </w:pPr>
      <w:r w:rsidRPr="008F4482">
        <w:rPr>
          <w:b/>
          <w:lang w:val="es-CO"/>
        </w:rPr>
        <w:t>Rodrigo Peñafiel</w:t>
      </w:r>
      <w:r w:rsidRPr="008F4482">
        <w:rPr>
          <w:lang w:val="es-CO"/>
        </w:rPr>
        <w:t xml:space="preserve">, socio fundador de </w:t>
      </w:r>
      <w:proofErr w:type="spellStart"/>
      <w:r w:rsidRPr="008F4482">
        <w:rPr>
          <w:lang w:val="es-CO"/>
        </w:rPr>
        <w:t>de</w:t>
      </w:r>
      <w:proofErr w:type="spellEnd"/>
      <w:r w:rsidRPr="008F4482">
        <w:rPr>
          <w:lang w:val="es-CO"/>
        </w:rPr>
        <w:t xml:space="preserve"> </w:t>
      </w:r>
      <w:proofErr w:type="spellStart"/>
      <w:r w:rsidRPr="008F4482">
        <w:rPr>
          <w:lang w:val="es-CO"/>
        </w:rPr>
        <w:t>another</w:t>
      </w:r>
      <w:proofErr w:type="spellEnd"/>
      <w:r w:rsidRPr="008F4482">
        <w:rPr>
          <w:lang w:val="es-CO"/>
        </w:rPr>
        <w:t xml:space="preserve">, mencionó: “Estoy muy orgulloso de que después de 18 años de construir esta gran agencia, ahora tenemos la oportunidad de unir fuerzas con SEC </w:t>
      </w:r>
      <w:proofErr w:type="spellStart"/>
      <w:r w:rsidRPr="008F4482">
        <w:rPr>
          <w:lang w:val="es-CO"/>
        </w:rPr>
        <w:t>Newgate</w:t>
      </w:r>
      <w:proofErr w:type="spellEnd"/>
      <w:r w:rsidRPr="008F4482">
        <w:rPr>
          <w:lang w:val="es-CO"/>
        </w:rPr>
        <w:t xml:space="preserve">, una agencia internacional que admiro y que nos ayudará a crecer y consolidar nuestra operación en la región. Realmente creo que la unión de ambos grupos será un gran éxito”. </w:t>
      </w:r>
    </w:p>
    <w:p w14:paraId="5EDB20C9" w14:textId="77777777" w:rsidR="00605B5E" w:rsidRPr="008F4482" w:rsidRDefault="00605B5E">
      <w:pPr>
        <w:spacing w:line="240" w:lineRule="auto"/>
        <w:jc w:val="both"/>
        <w:rPr>
          <w:lang w:val="es-CO"/>
        </w:rPr>
      </w:pPr>
    </w:p>
    <w:p w14:paraId="17859D95" w14:textId="77777777" w:rsidR="00605B5E" w:rsidRPr="008F4482" w:rsidRDefault="00000000">
      <w:pPr>
        <w:spacing w:line="240" w:lineRule="auto"/>
        <w:jc w:val="both"/>
        <w:rPr>
          <w:lang w:val="es-CO"/>
        </w:rPr>
      </w:pPr>
      <w:r w:rsidRPr="008F4482">
        <w:rPr>
          <w:lang w:val="es-CO"/>
        </w:rPr>
        <w:t xml:space="preserve">Para </w:t>
      </w:r>
      <w:r w:rsidRPr="008F4482">
        <w:rPr>
          <w:b/>
          <w:lang w:val="es-CO"/>
        </w:rPr>
        <w:t xml:space="preserve">SEC </w:t>
      </w:r>
      <w:proofErr w:type="spellStart"/>
      <w:r w:rsidRPr="008F4482">
        <w:rPr>
          <w:b/>
          <w:lang w:val="es-CO"/>
        </w:rPr>
        <w:t>Newgate</w:t>
      </w:r>
      <w:proofErr w:type="spellEnd"/>
      <w:r w:rsidRPr="008F4482">
        <w:rPr>
          <w:lang w:val="es-CO"/>
        </w:rPr>
        <w:t xml:space="preserve">, significa una presencia inmediata en mercados emergentes cruciales como México, Argentina, Brasil, Chile, Colombia, Costa Rica, Panamá, Perú, Uruguay y Miami (EU). Para </w:t>
      </w:r>
      <w:proofErr w:type="spellStart"/>
      <w:r w:rsidRPr="008F4482">
        <w:rPr>
          <w:b/>
          <w:lang w:val="es-CO"/>
        </w:rPr>
        <w:t>another</w:t>
      </w:r>
      <w:proofErr w:type="spellEnd"/>
      <w:r w:rsidRPr="008F4482">
        <w:rPr>
          <w:lang w:val="es-CO"/>
        </w:rPr>
        <w:t>, abre la puerta al resto del mundo a sus servicios y talento para dejar su huella de la misma manera como lo ha hecho durante 18 años como el grupo independiente líder en comunicación estratégica.</w:t>
      </w:r>
    </w:p>
    <w:p w14:paraId="7BFB1971" w14:textId="77777777" w:rsidR="00605B5E" w:rsidRPr="008F4482" w:rsidRDefault="00605B5E">
      <w:pPr>
        <w:spacing w:line="240" w:lineRule="auto"/>
        <w:jc w:val="both"/>
        <w:rPr>
          <w:lang w:val="es-CO"/>
        </w:rPr>
      </w:pPr>
    </w:p>
    <w:p w14:paraId="6B0C0CB8" w14:textId="77777777" w:rsidR="00605B5E" w:rsidRPr="008F4482" w:rsidRDefault="00000000">
      <w:pPr>
        <w:spacing w:line="240" w:lineRule="auto"/>
        <w:jc w:val="both"/>
        <w:rPr>
          <w:lang w:val="es-CO"/>
        </w:rPr>
      </w:pPr>
      <w:r w:rsidRPr="008F4482">
        <w:rPr>
          <w:lang w:val="es-CO"/>
        </w:rPr>
        <w:t xml:space="preserve">Comentando al respecto, </w:t>
      </w:r>
      <w:r w:rsidRPr="008F4482">
        <w:rPr>
          <w:b/>
          <w:lang w:val="es-CO"/>
        </w:rPr>
        <w:t xml:space="preserve">Fiorenzo </w:t>
      </w:r>
      <w:proofErr w:type="spellStart"/>
      <w:r w:rsidRPr="008F4482">
        <w:rPr>
          <w:b/>
          <w:lang w:val="es-CO"/>
        </w:rPr>
        <w:t>Tagliabue</w:t>
      </w:r>
      <w:proofErr w:type="spellEnd"/>
      <w:r w:rsidRPr="008F4482">
        <w:rPr>
          <w:lang w:val="es-CO"/>
        </w:rPr>
        <w:t xml:space="preserve">, CEO de </w:t>
      </w:r>
      <w:r w:rsidRPr="008F4482">
        <w:rPr>
          <w:b/>
          <w:lang w:val="es-CO"/>
        </w:rPr>
        <w:t xml:space="preserve">SEC </w:t>
      </w:r>
      <w:proofErr w:type="spellStart"/>
      <w:r w:rsidRPr="008F4482">
        <w:rPr>
          <w:b/>
          <w:lang w:val="es-CO"/>
        </w:rPr>
        <w:t>Newgate</w:t>
      </w:r>
      <w:proofErr w:type="spellEnd"/>
      <w:r w:rsidRPr="008F4482">
        <w:rPr>
          <w:b/>
          <w:lang w:val="es-CO"/>
        </w:rPr>
        <w:t xml:space="preserve"> </w:t>
      </w:r>
      <w:proofErr w:type="spellStart"/>
      <w:r w:rsidRPr="008F4482">
        <w:rPr>
          <w:b/>
          <w:lang w:val="es-CO"/>
        </w:rPr>
        <w:t>Group</w:t>
      </w:r>
      <w:proofErr w:type="spellEnd"/>
      <w:r w:rsidRPr="008F4482">
        <w:rPr>
          <w:lang w:val="es-CO"/>
        </w:rPr>
        <w:t xml:space="preserve">, dijo: “Estoy muy complacido de darle la bienvenida a </w:t>
      </w:r>
      <w:proofErr w:type="spellStart"/>
      <w:r w:rsidRPr="008F4482">
        <w:rPr>
          <w:lang w:val="es-CO"/>
        </w:rPr>
        <w:t>Jaspar</w:t>
      </w:r>
      <w:proofErr w:type="spellEnd"/>
      <w:r w:rsidRPr="008F4482">
        <w:rPr>
          <w:lang w:val="es-CO"/>
        </w:rPr>
        <w:t xml:space="preserve"> y Rodrigo a nuestro gran equipo de profesionales. Estoy seguro de que se integrarán perfectamente gracias a su sólida trayectoria como emprendedores y consejeros, los dos elementos recurrentes en nuestro equipo de liderazgo. El 2022 se ha convertido en un año determinante para nosotros, con el lanzamiento de nuestro Proyecto Transformativo que se ve reflejado en este acuerdo, tanto en esencia como en potencial”. </w:t>
      </w:r>
    </w:p>
    <w:p w14:paraId="4850D4AC" w14:textId="461A5B10" w:rsidR="00605B5E" w:rsidRDefault="00605B5E">
      <w:pPr>
        <w:spacing w:line="240" w:lineRule="auto"/>
        <w:jc w:val="both"/>
        <w:rPr>
          <w:lang w:val="es-CO"/>
        </w:rPr>
      </w:pPr>
    </w:p>
    <w:p w14:paraId="7C2457A4" w14:textId="19431ED3" w:rsidR="008F4482" w:rsidRDefault="008F4482">
      <w:pPr>
        <w:spacing w:line="240" w:lineRule="auto"/>
        <w:jc w:val="both"/>
        <w:rPr>
          <w:lang w:val="es-CO"/>
        </w:rPr>
      </w:pPr>
    </w:p>
    <w:p w14:paraId="3F023C06" w14:textId="77777777" w:rsidR="008F4482" w:rsidRPr="008F4482" w:rsidRDefault="008F4482">
      <w:pPr>
        <w:spacing w:line="240" w:lineRule="auto"/>
        <w:jc w:val="both"/>
        <w:rPr>
          <w:lang w:val="es-CO"/>
        </w:rPr>
      </w:pPr>
    </w:p>
    <w:p w14:paraId="0E69535A" w14:textId="77777777" w:rsidR="008F4482" w:rsidRDefault="008F4482" w:rsidP="008F4482">
      <w:pPr>
        <w:jc w:val="both"/>
        <w:rPr>
          <w:b/>
          <w:bCs/>
          <w:sz w:val="24"/>
          <w:szCs w:val="24"/>
        </w:rPr>
      </w:pPr>
    </w:p>
    <w:p w14:paraId="79AF6627" w14:textId="77777777" w:rsidR="008F4482" w:rsidRPr="008F4482" w:rsidRDefault="008F4482" w:rsidP="008F4482">
      <w:pPr>
        <w:jc w:val="both"/>
        <w:rPr>
          <w:b/>
          <w:bCs/>
          <w:sz w:val="24"/>
          <w:szCs w:val="24"/>
          <w:lang w:val="es-CO"/>
        </w:rPr>
      </w:pPr>
      <w:r w:rsidRPr="008F4482">
        <w:rPr>
          <w:b/>
          <w:bCs/>
          <w:sz w:val="24"/>
          <w:szCs w:val="24"/>
          <w:lang w:val="es-CO"/>
        </w:rPr>
        <w:t>Contacto para prensa</w:t>
      </w:r>
    </w:p>
    <w:p w14:paraId="58EEEACA" w14:textId="77777777" w:rsidR="008F4482" w:rsidRPr="008F4482" w:rsidRDefault="008F4482" w:rsidP="008F4482">
      <w:pPr>
        <w:jc w:val="both"/>
        <w:rPr>
          <w:sz w:val="24"/>
          <w:szCs w:val="24"/>
          <w:lang w:val="es-CO"/>
        </w:rPr>
      </w:pPr>
      <w:r w:rsidRPr="008F4482">
        <w:rPr>
          <w:sz w:val="24"/>
          <w:szCs w:val="24"/>
          <w:lang w:val="es-CO"/>
        </w:rPr>
        <w:t xml:space="preserve">Iván Mora Rincón </w:t>
      </w:r>
    </w:p>
    <w:p w14:paraId="60B234B4" w14:textId="5252C184" w:rsidR="008F4482" w:rsidRPr="005F04E1" w:rsidRDefault="008F4482" w:rsidP="008F4482">
      <w:pPr>
        <w:spacing w:line="480" w:lineRule="auto"/>
        <w:jc w:val="both"/>
        <w:rPr>
          <w:sz w:val="24"/>
          <w:szCs w:val="24"/>
        </w:rPr>
      </w:pPr>
      <w:hyperlink r:id="rId8" w:history="1">
        <w:r w:rsidRPr="005F04E1">
          <w:rPr>
            <w:rStyle w:val="Hipervnculo"/>
            <w:color w:val="4F81BD" w:themeColor="accent1"/>
            <w:sz w:val="24"/>
            <w:szCs w:val="24"/>
          </w:rPr>
          <w:t>ivan.mora@another.co</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r w:rsidRPr="005F04E1">
        <w:rPr>
          <w:sz w:val="24"/>
          <w:szCs w:val="24"/>
        </w:rPr>
        <w:t>316-336-2173</w:t>
      </w:r>
    </w:p>
    <w:p w14:paraId="4C7AFADC" w14:textId="77777777" w:rsidR="00605B5E" w:rsidRDefault="00605B5E">
      <w:pPr>
        <w:spacing w:line="240" w:lineRule="auto"/>
        <w:jc w:val="both"/>
        <w:rPr>
          <w:sz w:val="18"/>
          <w:szCs w:val="18"/>
        </w:rPr>
      </w:pPr>
    </w:p>
    <w:sectPr w:rsidR="00605B5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8304" w14:textId="77777777" w:rsidR="00253FAF" w:rsidRDefault="00253FAF">
      <w:pPr>
        <w:spacing w:line="240" w:lineRule="auto"/>
      </w:pPr>
      <w:r>
        <w:separator/>
      </w:r>
    </w:p>
  </w:endnote>
  <w:endnote w:type="continuationSeparator" w:id="0">
    <w:p w14:paraId="2E6B9911" w14:textId="77777777" w:rsidR="00253FAF" w:rsidRDefault="00253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7DEA" w14:textId="77777777" w:rsidR="00253FAF" w:rsidRDefault="00253FAF">
      <w:pPr>
        <w:spacing w:line="240" w:lineRule="auto"/>
      </w:pPr>
      <w:r>
        <w:separator/>
      </w:r>
    </w:p>
  </w:footnote>
  <w:footnote w:type="continuationSeparator" w:id="0">
    <w:p w14:paraId="3C355D82" w14:textId="77777777" w:rsidR="00253FAF" w:rsidRDefault="00253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0DD8" w14:textId="77777777" w:rsidR="00605B5E" w:rsidRDefault="00000000">
    <w:pPr>
      <w:spacing w:line="240" w:lineRule="auto"/>
      <w:jc w:val="right"/>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4F36D21" wp14:editId="49AE6307">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p w14:paraId="7444F281" w14:textId="77777777" w:rsidR="00605B5E" w:rsidRDefault="00605B5E">
    <w:pPr>
      <w:spacing w:line="240" w:lineRule="auto"/>
      <w:jc w:val="right"/>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C3A30"/>
    <w:multiLevelType w:val="multilevel"/>
    <w:tmpl w:val="FDB24E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91042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5E"/>
    <w:rsid w:val="00253FAF"/>
    <w:rsid w:val="00605B5E"/>
    <w:rsid w:val="008F4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7C44DF3"/>
  <w15:docId w15:val="{EAC3CA2C-DBF8-3747-9E50-C3EBCB7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F4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n.mora@another.co" TargetMode="External"/><Relationship Id="rId3" Type="http://schemas.openxmlformats.org/officeDocument/2006/relationships/settings" Target="settings.xml"/><Relationship Id="rId7" Type="http://schemas.openxmlformats.org/officeDocument/2006/relationships/hyperlink" Target="https://www.another.co/?utm_source=another+SEC+Newgate+&amp;utm_medium=another+SEC+Newgate+&amp;utm_campaign=another+SEC+Newgate+&amp;utm_id=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2329</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2022-11-15T15:38:00Z</dcterms:created>
  <dcterms:modified xsi:type="dcterms:W3CDTF">2022-11-15T15:40:00Z</dcterms:modified>
</cp:coreProperties>
</file>